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05B9" w14:textId="645ABD6C" w:rsidR="00E839B1" w:rsidRDefault="00E839B1" w:rsidP="00E73346">
      <w:pPr>
        <w:spacing w:after="0" w:line="240" w:lineRule="auto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Контрольно-счетная комиссия. Контрольные мероприятия 2024</w:t>
      </w:r>
    </w:p>
    <w:p w14:paraId="19C061FF" w14:textId="77777777" w:rsidR="00E839B1" w:rsidRDefault="00E839B1" w:rsidP="00E73346">
      <w:pPr>
        <w:spacing w:after="0" w:line="240" w:lineRule="auto"/>
        <w:jc w:val="center"/>
        <w:rPr>
          <w:b/>
          <w:bCs w:val="0"/>
          <w:sz w:val="28"/>
          <w:szCs w:val="28"/>
        </w:rPr>
      </w:pPr>
    </w:p>
    <w:p w14:paraId="2DCC747B" w14:textId="77777777" w:rsidR="00E839B1" w:rsidRDefault="00E839B1" w:rsidP="00E73346">
      <w:pPr>
        <w:spacing w:after="0" w:line="240" w:lineRule="auto"/>
        <w:jc w:val="center"/>
        <w:rPr>
          <w:b/>
          <w:bCs w:val="0"/>
          <w:sz w:val="28"/>
          <w:szCs w:val="28"/>
        </w:rPr>
      </w:pPr>
    </w:p>
    <w:p w14:paraId="3EE6E1BB" w14:textId="047C40BE" w:rsidR="00B26803" w:rsidRPr="00AE04FE" w:rsidRDefault="00B26803" w:rsidP="00E73346">
      <w:pPr>
        <w:spacing w:after="0" w:line="240" w:lineRule="auto"/>
        <w:jc w:val="center"/>
        <w:rPr>
          <w:b/>
          <w:bCs w:val="0"/>
          <w:sz w:val="28"/>
          <w:szCs w:val="28"/>
        </w:rPr>
      </w:pPr>
      <w:r w:rsidRPr="00AE04FE">
        <w:rPr>
          <w:b/>
          <w:bCs w:val="0"/>
          <w:sz w:val="28"/>
          <w:szCs w:val="28"/>
        </w:rPr>
        <w:t>Информация</w:t>
      </w:r>
      <w:bookmarkStart w:id="0" w:name="_GoBack"/>
      <w:bookmarkEnd w:id="0"/>
    </w:p>
    <w:p w14:paraId="656DCEFC" w14:textId="689F0FEF" w:rsidR="00447E93" w:rsidRPr="00AE04FE" w:rsidRDefault="00447E93" w:rsidP="00E73346">
      <w:pPr>
        <w:spacing w:line="240" w:lineRule="auto"/>
        <w:jc w:val="center"/>
        <w:rPr>
          <w:b/>
          <w:bCs w:val="0"/>
          <w:sz w:val="28"/>
          <w:szCs w:val="28"/>
        </w:rPr>
      </w:pPr>
      <w:r w:rsidRPr="00AE04FE">
        <w:rPr>
          <w:b/>
          <w:bCs w:val="0"/>
          <w:sz w:val="28"/>
          <w:szCs w:val="28"/>
        </w:rPr>
        <w:t>о результатах контрольного мероприятия «Проверка использования бюджетных средств, направленных на достижение результатов федерального проекта «Развитие искусства и творчества» в рамках государственной программы Саратовской области «Культура Саратовской области», в части расходов на обеспечение развития и укрепления материально-технической базы домов культуры в населенных пунктах с числом жителей до 50 тысяч  человек 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 за 2023 год»</w:t>
      </w:r>
    </w:p>
    <w:p w14:paraId="05C18769" w14:textId="0F5E60C3" w:rsidR="007B6888" w:rsidRPr="00AE04FE" w:rsidRDefault="00B26803" w:rsidP="00447E93">
      <w:pPr>
        <w:spacing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 xml:space="preserve">Контрольно-счетной комиссией Пугачевского муниципального района (далее – Комиссия) проведена плановая проверка </w:t>
      </w:r>
      <w:r w:rsidR="00447E93" w:rsidRPr="00AE04FE">
        <w:rPr>
          <w:sz w:val="28"/>
          <w:szCs w:val="28"/>
        </w:rPr>
        <w:t>по</w:t>
      </w:r>
      <w:r w:rsidRPr="00AE04FE">
        <w:rPr>
          <w:sz w:val="28"/>
          <w:szCs w:val="28"/>
        </w:rPr>
        <w:t xml:space="preserve"> </w:t>
      </w:r>
      <w:r w:rsidR="00447E93" w:rsidRPr="00AE04FE">
        <w:rPr>
          <w:sz w:val="28"/>
          <w:szCs w:val="28"/>
        </w:rPr>
        <w:t xml:space="preserve">Управлению культуры администрации Пугачевского муниципального района Саратовской области с выездом в территориально-обособленные подразделения </w:t>
      </w:r>
      <w:r w:rsidR="00876226" w:rsidRPr="00AE04FE">
        <w:rPr>
          <w:sz w:val="28"/>
          <w:szCs w:val="28"/>
        </w:rPr>
        <w:t>МБУК «ЦКС Пугачевского района» (ДК сел Камелик, Клинцовка, Преображенка, Успенка</w:t>
      </w:r>
      <w:r w:rsidR="005D270B" w:rsidRPr="00AE04FE">
        <w:rPr>
          <w:sz w:val="28"/>
          <w:szCs w:val="28"/>
        </w:rPr>
        <w:t>)</w:t>
      </w:r>
      <w:r w:rsidR="001C1330" w:rsidRPr="00AE04FE">
        <w:rPr>
          <w:sz w:val="28"/>
          <w:szCs w:val="28"/>
        </w:rPr>
        <w:t>.</w:t>
      </w:r>
    </w:p>
    <w:p w14:paraId="298D406A" w14:textId="67921B6E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В ходе проведения контрольного мероприятия выявлен</w:t>
      </w:r>
      <w:r w:rsidR="008F0727">
        <w:rPr>
          <w:sz w:val="28"/>
          <w:szCs w:val="28"/>
        </w:rPr>
        <w:t>о</w:t>
      </w:r>
      <w:r w:rsidRPr="00AE04FE">
        <w:rPr>
          <w:sz w:val="28"/>
          <w:szCs w:val="28"/>
        </w:rPr>
        <w:t>:</w:t>
      </w:r>
    </w:p>
    <w:p w14:paraId="2AECD948" w14:textId="072E48E8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876226" w:rsidRPr="00AE04FE">
        <w:rPr>
          <w:sz w:val="28"/>
          <w:szCs w:val="28"/>
        </w:rPr>
        <w:t xml:space="preserve">нарушение сроков предоставления отчетности в </w:t>
      </w:r>
      <w:r w:rsidR="005D270B" w:rsidRPr="00AE04FE">
        <w:rPr>
          <w:sz w:val="28"/>
          <w:szCs w:val="28"/>
        </w:rPr>
        <w:t>Министерством культуры Саратовской области</w:t>
      </w:r>
      <w:r w:rsidRPr="00AE04FE">
        <w:rPr>
          <w:sz w:val="28"/>
          <w:szCs w:val="28"/>
        </w:rPr>
        <w:t>;</w:t>
      </w:r>
    </w:p>
    <w:p w14:paraId="7BB00071" w14:textId="26118763" w:rsidR="00ED00E9" w:rsidRPr="00AE04FE" w:rsidRDefault="0044339D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876226" w:rsidRPr="00AE04FE">
        <w:rPr>
          <w:sz w:val="28"/>
          <w:szCs w:val="28"/>
        </w:rPr>
        <w:t>при формировании Подпрограмм</w:t>
      </w:r>
      <w:r w:rsidR="008F0727">
        <w:rPr>
          <w:sz w:val="28"/>
          <w:szCs w:val="28"/>
        </w:rPr>
        <w:t>ы</w:t>
      </w:r>
      <w:r w:rsidR="00876226" w:rsidRPr="00AE04FE">
        <w:rPr>
          <w:sz w:val="28"/>
          <w:szCs w:val="28"/>
        </w:rPr>
        <w:t xml:space="preserve"> 2 «Развитие досуговой деятельности, народного творчества и профессионального искусства» </w:t>
      </w:r>
      <w:r w:rsidR="005D270B" w:rsidRPr="00AE04FE">
        <w:rPr>
          <w:sz w:val="28"/>
          <w:szCs w:val="28"/>
        </w:rPr>
        <w:t xml:space="preserve">муниципальной программы «Развитие культуры Пугачевского муниципального района Саратовской области на 2023-2025 годы» (далее </w:t>
      </w:r>
      <w:r w:rsidR="00575E64" w:rsidRPr="00AE04FE">
        <w:rPr>
          <w:sz w:val="28"/>
          <w:szCs w:val="28"/>
        </w:rPr>
        <w:t>–</w:t>
      </w:r>
      <w:r w:rsidR="005D270B" w:rsidRPr="00AE04FE">
        <w:rPr>
          <w:sz w:val="28"/>
          <w:szCs w:val="28"/>
        </w:rPr>
        <w:t xml:space="preserve"> </w:t>
      </w:r>
      <w:bookmarkStart w:id="1" w:name="_Hlk180670447"/>
      <w:r w:rsidR="005D270B" w:rsidRPr="00AE04FE">
        <w:rPr>
          <w:sz w:val="28"/>
          <w:szCs w:val="28"/>
        </w:rPr>
        <w:t>МП</w:t>
      </w:r>
      <w:r w:rsidR="00575E64" w:rsidRPr="00AE04FE">
        <w:rPr>
          <w:sz w:val="28"/>
          <w:szCs w:val="28"/>
        </w:rPr>
        <w:t xml:space="preserve"> Развитие культуры</w:t>
      </w:r>
      <w:bookmarkEnd w:id="1"/>
      <w:r w:rsidR="005D270B" w:rsidRPr="00AE04FE">
        <w:rPr>
          <w:sz w:val="28"/>
          <w:szCs w:val="28"/>
        </w:rPr>
        <w:t xml:space="preserve">) </w:t>
      </w:r>
      <w:r w:rsidR="00857C1A" w:rsidRPr="00AE04FE">
        <w:rPr>
          <w:sz w:val="28"/>
          <w:szCs w:val="28"/>
        </w:rPr>
        <w:t>допущено несоответствие наименования мероприятия</w:t>
      </w:r>
      <w:r w:rsidR="005D270B" w:rsidRPr="00AE04FE">
        <w:rPr>
          <w:sz w:val="28"/>
          <w:szCs w:val="28"/>
        </w:rPr>
        <w:t xml:space="preserve"> и</w:t>
      </w:r>
      <w:r w:rsidR="00857C1A" w:rsidRPr="00AE04FE">
        <w:rPr>
          <w:sz w:val="28"/>
          <w:szCs w:val="28"/>
        </w:rPr>
        <w:t xml:space="preserve"> задачи подпрограммы, нет ссылки в рамках выполнения какого федерального проекта, государственной программы реализованы мероприятия, значение результатов использования субсидии, указанные в соглашениях с Министерством (4 объекта), не нашли отражение в целевых показателях (индикаторах) </w:t>
      </w:r>
      <w:r w:rsidR="00575E64" w:rsidRPr="00AE04FE">
        <w:rPr>
          <w:sz w:val="28"/>
          <w:szCs w:val="28"/>
        </w:rPr>
        <w:t>МП Развитие культуры</w:t>
      </w:r>
      <w:r w:rsidR="00A430F6" w:rsidRPr="00AE04FE">
        <w:rPr>
          <w:sz w:val="28"/>
          <w:szCs w:val="28"/>
        </w:rPr>
        <w:t xml:space="preserve">, установленный в </w:t>
      </w:r>
      <w:r w:rsidR="00575E64" w:rsidRPr="00AE04FE">
        <w:rPr>
          <w:sz w:val="28"/>
          <w:szCs w:val="28"/>
        </w:rPr>
        <w:t>МП Развитие культуры</w:t>
      </w:r>
      <w:r w:rsidR="00A430F6" w:rsidRPr="00AE04FE">
        <w:rPr>
          <w:sz w:val="28"/>
          <w:szCs w:val="28"/>
        </w:rPr>
        <w:t xml:space="preserve"> целевой показатель не соответствует площади отремонтированных помещений, а является площадью отремонтированных поверхностей (потолок, стены, пол)</w:t>
      </w:r>
      <w:r w:rsidRPr="00AE04FE">
        <w:rPr>
          <w:sz w:val="28"/>
          <w:szCs w:val="28"/>
        </w:rPr>
        <w:t>;</w:t>
      </w:r>
    </w:p>
    <w:p w14:paraId="6AE1CEEC" w14:textId="3044DE12" w:rsidR="001C1330" w:rsidRPr="00AE04FE" w:rsidRDefault="001C1330" w:rsidP="00E67A45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44339D" w:rsidRPr="00AE04FE">
        <w:rPr>
          <w:sz w:val="28"/>
          <w:szCs w:val="28"/>
        </w:rPr>
        <w:t>при</w:t>
      </w:r>
      <w:r w:rsidR="00592B19" w:rsidRPr="00AE04FE">
        <w:rPr>
          <w:sz w:val="28"/>
          <w:szCs w:val="28"/>
        </w:rPr>
        <w:t xml:space="preserve"> заключении соглашения о</w:t>
      </w:r>
      <w:r w:rsidR="0044339D" w:rsidRPr="00AE04FE">
        <w:rPr>
          <w:sz w:val="28"/>
          <w:szCs w:val="28"/>
        </w:rPr>
        <w:t xml:space="preserve"> представлении субсидии на иные цели</w:t>
      </w:r>
      <w:r w:rsidRPr="00AE04FE">
        <w:rPr>
          <w:sz w:val="28"/>
          <w:szCs w:val="28"/>
        </w:rPr>
        <w:t xml:space="preserve"> </w:t>
      </w:r>
      <w:r w:rsidR="00A430F6" w:rsidRPr="00AE04FE">
        <w:rPr>
          <w:sz w:val="28"/>
          <w:szCs w:val="28"/>
        </w:rPr>
        <w:t xml:space="preserve">МБУК «ЦКС Пугачевского района» </w:t>
      </w:r>
      <w:r w:rsidR="00592B19" w:rsidRPr="00AE04FE">
        <w:rPr>
          <w:sz w:val="28"/>
          <w:szCs w:val="28"/>
        </w:rPr>
        <w:t>в нарушение</w:t>
      </w:r>
      <w:r w:rsidRPr="00AE04FE">
        <w:rPr>
          <w:sz w:val="28"/>
          <w:szCs w:val="28"/>
        </w:rPr>
        <w:t xml:space="preserve"> Порядка определения объема и условий предоставления субсидий из бюджета Пугачевского муниципального района муниципальным бюджетным и автономным учреждениям Пугачевского муниципального района</w:t>
      </w:r>
      <w:r w:rsidR="005D270B" w:rsidRPr="00AE04FE">
        <w:rPr>
          <w:sz w:val="28"/>
          <w:szCs w:val="28"/>
        </w:rPr>
        <w:t>, утвержденного постановлением администрации Пугачевского муниципального района от 28 декабря 2020 №1210</w:t>
      </w:r>
      <w:r w:rsidR="00592B19" w:rsidRPr="00AE04FE">
        <w:rPr>
          <w:sz w:val="28"/>
          <w:szCs w:val="28"/>
        </w:rPr>
        <w:t>:</w:t>
      </w:r>
      <w:r w:rsidR="00E25279" w:rsidRPr="00AE04FE">
        <w:rPr>
          <w:sz w:val="28"/>
          <w:szCs w:val="28"/>
        </w:rPr>
        <w:t xml:space="preserve"> </w:t>
      </w:r>
      <w:r w:rsidR="00592B19" w:rsidRPr="00AE04FE">
        <w:rPr>
          <w:sz w:val="28"/>
          <w:szCs w:val="28"/>
        </w:rPr>
        <w:t xml:space="preserve">цели предоставления субсидии не содержат ссылки на </w:t>
      </w:r>
      <w:r w:rsidR="00575E64" w:rsidRPr="00AE04FE">
        <w:rPr>
          <w:sz w:val="28"/>
          <w:szCs w:val="28"/>
        </w:rPr>
        <w:t xml:space="preserve">государственную программу Саратовской области «Культура Саратовской области», утвержденную постановлением Правительства Саратовской </w:t>
      </w:r>
      <w:r w:rsidR="00575E64" w:rsidRPr="00AE04FE">
        <w:rPr>
          <w:sz w:val="28"/>
          <w:szCs w:val="28"/>
        </w:rPr>
        <w:lastRenderedPageBreak/>
        <w:t>области от 20 ноября 2013 №642-П</w:t>
      </w:r>
      <w:r w:rsidR="00592B19" w:rsidRPr="00AE04FE">
        <w:rPr>
          <w:sz w:val="28"/>
          <w:szCs w:val="28"/>
        </w:rPr>
        <w:t xml:space="preserve"> и МП </w:t>
      </w:r>
      <w:bookmarkStart w:id="2" w:name="_Hlk180670421"/>
      <w:r w:rsidR="00592B19" w:rsidRPr="00AE04FE">
        <w:rPr>
          <w:sz w:val="28"/>
          <w:szCs w:val="28"/>
        </w:rPr>
        <w:t>Развитие культуры</w:t>
      </w:r>
      <w:bookmarkEnd w:id="2"/>
      <w:r w:rsidR="00592B19" w:rsidRPr="00AE04FE">
        <w:rPr>
          <w:sz w:val="28"/>
          <w:szCs w:val="28"/>
        </w:rPr>
        <w:t xml:space="preserve">, не содержит значение результатов предоставления субсидии в соответствии с ГП </w:t>
      </w:r>
      <w:r w:rsidR="00575E64" w:rsidRPr="00AE04FE">
        <w:rPr>
          <w:sz w:val="28"/>
          <w:szCs w:val="28"/>
        </w:rPr>
        <w:t>«</w:t>
      </w:r>
      <w:r w:rsidR="00592B19" w:rsidRPr="00AE04FE">
        <w:rPr>
          <w:sz w:val="28"/>
          <w:szCs w:val="28"/>
        </w:rPr>
        <w:t>Культура Саратовской области</w:t>
      </w:r>
      <w:r w:rsidR="00575E64" w:rsidRPr="00AE04FE">
        <w:rPr>
          <w:sz w:val="28"/>
          <w:szCs w:val="28"/>
        </w:rPr>
        <w:t>»</w:t>
      </w:r>
      <w:r w:rsidR="00E67A45" w:rsidRPr="00AE04FE">
        <w:rPr>
          <w:sz w:val="28"/>
          <w:szCs w:val="28"/>
        </w:rPr>
        <w:t>. Отчеты представлялись с нарушением периодичности и</w:t>
      </w:r>
      <w:r w:rsidR="008F0727">
        <w:rPr>
          <w:sz w:val="28"/>
          <w:szCs w:val="28"/>
        </w:rPr>
        <w:t xml:space="preserve"> несвоевременным</w:t>
      </w:r>
      <w:r w:rsidR="00592B19" w:rsidRPr="00AE04FE">
        <w:rPr>
          <w:sz w:val="28"/>
          <w:szCs w:val="28"/>
        </w:rPr>
        <w:t xml:space="preserve"> </w:t>
      </w:r>
      <w:r w:rsidR="00E67A45" w:rsidRPr="00AE04FE">
        <w:rPr>
          <w:sz w:val="28"/>
          <w:szCs w:val="28"/>
        </w:rPr>
        <w:t>отражением денежных обязательств</w:t>
      </w:r>
      <w:r w:rsidRPr="00AE04FE">
        <w:rPr>
          <w:sz w:val="28"/>
          <w:szCs w:val="28"/>
        </w:rPr>
        <w:t>;</w:t>
      </w:r>
    </w:p>
    <w:p w14:paraId="76EC69AA" w14:textId="112403C1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682556" w:rsidRPr="00AE04FE">
        <w:rPr>
          <w:sz w:val="28"/>
          <w:szCs w:val="28"/>
        </w:rPr>
        <w:t xml:space="preserve">израсходовано субсидии в размере 4016430,51 руб., в том числе на основании исполнения контракта </w:t>
      </w:r>
      <w:r w:rsidR="00104445" w:rsidRPr="00AE04FE">
        <w:rPr>
          <w:sz w:val="28"/>
          <w:szCs w:val="28"/>
        </w:rPr>
        <w:t>заключенного по результатам аукциона в электронной форме</w:t>
      </w:r>
      <w:r w:rsidR="00682556" w:rsidRPr="00AE04FE">
        <w:rPr>
          <w:sz w:val="28"/>
          <w:szCs w:val="28"/>
        </w:rPr>
        <w:t xml:space="preserve"> на сумму 1 633 558,0 руб. и восьми контрактов </w:t>
      </w:r>
      <w:r w:rsidR="00104445" w:rsidRPr="00AE04FE">
        <w:rPr>
          <w:sz w:val="28"/>
          <w:szCs w:val="28"/>
        </w:rPr>
        <w:t xml:space="preserve">заключенных </w:t>
      </w:r>
      <w:r w:rsidR="00682556" w:rsidRPr="00AE04FE">
        <w:rPr>
          <w:sz w:val="28"/>
          <w:szCs w:val="28"/>
        </w:rPr>
        <w:t xml:space="preserve">по п.5. ч.1 ст.93 </w:t>
      </w:r>
      <w:r w:rsidR="00104445" w:rsidRPr="00AE04FE">
        <w:rPr>
          <w:sz w:val="28"/>
          <w:szCs w:val="28"/>
        </w:rPr>
        <w:t xml:space="preserve">Федерального закона от 5 апреля 2013 №44-ФЗ «О контрактной системе в сфере закупок товаров, работ, услуг для обеспечения государственных и муниципальных нужд» </w:t>
      </w:r>
      <w:r w:rsidR="00682556" w:rsidRPr="00AE04FE">
        <w:rPr>
          <w:sz w:val="28"/>
          <w:szCs w:val="28"/>
        </w:rPr>
        <w:t>(</w:t>
      </w:r>
      <w:r w:rsidR="00B417DD" w:rsidRPr="00AE04FE">
        <w:rPr>
          <w:sz w:val="28"/>
          <w:szCs w:val="28"/>
        </w:rPr>
        <w:t xml:space="preserve">осуществление закупки товара, работы или услуги 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если закупка </w:t>
      </w:r>
      <w:r w:rsidR="00682556" w:rsidRPr="00AE04FE">
        <w:rPr>
          <w:sz w:val="28"/>
          <w:szCs w:val="28"/>
        </w:rPr>
        <w:t>не превыша</w:t>
      </w:r>
      <w:r w:rsidR="00B417DD" w:rsidRPr="00AE04FE">
        <w:rPr>
          <w:sz w:val="28"/>
          <w:szCs w:val="28"/>
        </w:rPr>
        <w:t>ет</w:t>
      </w:r>
      <w:r w:rsidR="00682556" w:rsidRPr="00AE04FE">
        <w:rPr>
          <w:sz w:val="28"/>
          <w:szCs w:val="28"/>
        </w:rPr>
        <w:t xml:space="preserve"> шестисот тысяч рублей</w:t>
      </w:r>
      <w:r w:rsidR="00B417DD" w:rsidRPr="00AE04FE">
        <w:rPr>
          <w:sz w:val="28"/>
          <w:szCs w:val="28"/>
        </w:rPr>
        <w:t>, при этом годовой объем закупок, которые заказчик вправе осуществить на основании данного пункта, не должен превышать пять миллионов рублей</w:t>
      </w:r>
      <w:r w:rsidR="00682556" w:rsidRPr="00AE04FE">
        <w:rPr>
          <w:sz w:val="28"/>
          <w:szCs w:val="28"/>
        </w:rPr>
        <w:t>) на сумму 2 382 872,51 руб. в соответствии с планом-графиком.</w:t>
      </w:r>
      <w:r w:rsidR="0042100F" w:rsidRPr="00AE04FE">
        <w:rPr>
          <w:sz w:val="28"/>
          <w:szCs w:val="28"/>
        </w:rPr>
        <w:t xml:space="preserve"> По контракту, заключенному с ИП, не являющ</w:t>
      </w:r>
      <w:r w:rsidR="003F4FE9" w:rsidRPr="00AE04FE">
        <w:rPr>
          <w:sz w:val="28"/>
          <w:szCs w:val="28"/>
        </w:rPr>
        <w:t>имся плательщиком НДС в локальный сметный расчет и акт выполненных работ включен НДС 20% в размере 30,2 тыс. руб., таким образом, заказчик неверно определил цену контракта, что привело к дополнительным расходам бюджетных средств и является не эффективным</w:t>
      </w:r>
      <w:r w:rsidR="00B417DD" w:rsidRPr="00AE04FE">
        <w:rPr>
          <w:sz w:val="28"/>
          <w:szCs w:val="28"/>
        </w:rPr>
        <w:t xml:space="preserve"> их</w:t>
      </w:r>
      <w:r w:rsidR="003F4FE9" w:rsidRPr="00AE04FE">
        <w:rPr>
          <w:sz w:val="28"/>
          <w:szCs w:val="28"/>
        </w:rPr>
        <w:t xml:space="preserve"> использованием. По трем контрактам оплата товаров произведена с нарушением срока</w:t>
      </w:r>
      <w:r w:rsidR="0006496D" w:rsidRPr="00AE04FE">
        <w:rPr>
          <w:sz w:val="28"/>
          <w:szCs w:val="28"/>
        </w:rPr>
        <w:t>;</w:t>
      </w:r>
    </w:p>
    <w:p w14:paraId="669E9F42" w14:textId="577799AB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06496D" w:rsidRPr="00AE04FE">
        <w:rPr>
          <w:sz w:val="28"/>
          <w:szCs w:val="28"/>
        </w:rPr>
        <w:t>при осмотре и обмере выполненных работ по текущему ремонту здания ДК с. Преображенка расхождений в объемах выполненных подрядчиками работ, отраженных в актах о приемке выполненных работ и фактически выполненным работам не обнаружено</w:t>
      </w:r>
      <w:r w:rsidRPr="00AE04FE">
        <w:rPr>
          <w:sz w:val="28"/>
          <w:szCs w:val="28"/>
        </w:rPr>
        <w:t>;</w:t>
      </w:r>
    </w:p>
    <w:p w14:paraId="540211A1" w14:textId="7D815EB5" w:rsidR="007E52E9" w:rsidRPr="00AE04FE" w:rsidRDefault="007E52E9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</w:t>
      </w:r>
      <w:r w:rsidR="0006496D" w:rsidRPr="00AE04FE">
        <w:rPr>
          <w:sz w:val="28"/>
          <w:szCs w:val="28"/>
        </w:rPr>
        <w:t>осмотр приобретенного оборудования, показал, все поставленное оборудование в наличии, расхождений по моделям, маркам, годам выпуска не обнаружено, оборудование используется по назначению;</w:t>
      </w:r>
    </w:p>
    <w:p w14:paraId="1B40C65F" w14:textId="4A0E2189" w:rsidR="0006496D" w:rsidRPr="00AE04FE" w:rsidRDefault="0006496D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>-нецелевого использования средств субсидии не обнаружено.</w:t>
      </w:r>
    </w:p>
    <w:p w14:paraId="4D96442B" w14:textId="784263F9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 xml:space="preserve">По результатам контрольного мероприятия составлен соответствующий акт от </w:t>
      </w:r>
      <w:r w:rsidR="0006496D" w:rsidRPr="00AE04FE">
        <w:rPr>
          <w:sz w:val="28"/>
          <w:szCs w:val="28"/>
        </w:rPr>
        <w:t>12</w:t>
      </w:r>
      <w:r w:rsidRPr="00AE04FE">
        <w:rPr>
          <w:sz w:val="28"/>
          <w:szCs w:val="28"/>
        </w:rPr>
        <w:t xml:space="preserve"> </w:t>
      </w:r>
      <w:r w:rsidR="0006496D" w:rsidRPr="00AE04FE">
        <w:rPr>
          <w:sz w:val="28"/>
          <w:szCs w:val="28"/>
        </w:rPr>
        <w:t>августа</w:t>
      </w:r>
      <w:r w:rsidRPr="00AE04FE">
        <w:rPr>
          <w:sz w:val="28"/>
          <w:szCs w:val="28"/>
        </w:rPr>
        <w:t xml:space="preserve"> 202</w:t>
      </w:r>
      <w:r w:rsidR="00641278" w:rsidRPr="00AE04FE">
        <w:rPr>
          <w:sz w:val="28"/>
          <w:szCs w:val="28"/>
        </w:rPr>
        <w:t>4</w:t>
      </w:r>
      <w:r w:rsidRPr="00AE04FE">
        <w:rPr>
          <w:sz w:val="28"/>
          <w:szCs w:val="28"/>
        </w:rPr>
        <w:t xml:space="preserve"> года, который со стороны учреждения был подписан без возражений.</w:t>
      </w:r>
    </w:p>
    <w:p w14:paraId="18C21724" w14:textId="035F1534" w:rsidR="001C1330" w:rsidRPr="00AE04FE" w:rsidRDefault="001C1330" w:rsidP="001C1330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 xml:space="preserve">В </w:t>
      </w:r>
      <w:r w:rsidR="00E73346" w:rsidRPr="00AE04FE">
        <w:rPr>
          <w:sz w:val="28"/>
          <w:szCs w:val="28"/>
        </w:rPr>
        <w:t>адрес Управления культуры администрации Пугачевского муниципального района, МБУК «ЦКС по Пугачевскому району для принятия мер по предупреждению выявленных нарушений</w:t>
      </w:r>
      <w:r w:rsidRPr="00AE04FE">
        <w:rPr>
          <w:sz w:val="28"/>
          <w:szCs w:val="28"/>
        </w:rPr>
        <w:t>, и привлечени</w:t>
      </w:r>
      <w:r w:rsidR="00AE04FE" w:rsidRPr="00AE04FE">
        <w:rPr>
          <w:sz w:val="28"/>
          <w:szCs w:val="28"/>
        </w:rPr>
        <w:t>ю</w:t>
      </w:r>
      <w:r w:rsidRPr="00AE04FE">
        <w:rPr>
          <w:sz w:val="28"/>
          <w:szCs w:val="28"/>
        </w:rPr>
        <w:t xml:space="preserve"> к ответственности должностных лиц, допустивших указанные нарушения.</w:t>
      </w:r>
    </w:p>
    <w:p w14:paraId="65AD2587" w14:textId="3DF4381F" w:rsidR="001C1330" w:rsidRPr="00AE04FE" w:rsidRDefault="001C1330" w:rsidP="00C442ED">
      <w:pPr>
        <w:spacing w:after="0" w:line="240" w:lineRule="auto"/>
        <w:rPr>
          <w:sz w:val="28"/>
          <w:szCs w:val="28"/>
        </w:rPr>
      </w:pPr>
      <w:r w:rsidRPr="00AE04FE">
        <w:rPr>
          <w:sz w:val="28"/>
          <w:szCs w:val="28"/>
        </w:rPr>
        <w:t xml:space="preserve">Отчет о результатах проведенного контрольного мероприятия для сведения направлен председателю Собрания Пугачевского муниципального района Кальченко П.Н., главе Пугачевского муниципального района </w:t>
      </w:r>
      <w:r w:rsidR="00D96A75">
        <w:rPr>
          <w:sz w:val="28"/>
          <w:szCs w:val="28"/>
        </w:rPr>
        <w:t xml:space="preserve">                   </w:t>
      </w:r>
      <w:r w:rsidRPr="00AE04FE">
        <w:rPr>
          <w:sz w:val="28"/>
          <w:szCs w:val="28"/>
        </w:rPr>
        <w:t>Янину А.В.</w:t>
      </w:r>
      <w:r w:rsidR="00E73346" w:rsidRPr="00AE04FE">
        <w:rPr>
          <w:sz w:val="28"/>
          <w:szCs w:val="28"/>
        </w:rPr>
        <w:t>, в Счетную палату Саратовской области.</w:t>
      </w:r>
    </w:p>
    <w:p w14:paraId="0C2F4955" w14:textId="77777777" w:rsidR="00C442ED" w:rsidRPr="00AE04FE" w:rsidRDefault="00C442ED" w:rsidP="00C442ED">
      <w:pPr>
        <w:spacing w:after="0" w:line="240" w:lineRule="auto"/>
        <w:rPr>
          <w:sz w:val="28"/>
          <w:szCs w:val="28"/>
        </w:rPr>
      </w:pPr>
    </w:p>
    <w:p w14:paraId="2646C111" w14:textId="77777777" w:rsidR="004910B6" w:rsidRPr="00AE04FE" w:rsidRDefault="004910B6" w:rsidP="00C442ED">
      <w:pPr>
        <w:spacing w:after="0" w:line="240" w:lineRule="auto"/>
        <w:rPr>
          <w:sz w:val="28"/>
          <w:szCs w:val="28"/>
        </w:rPr>
      </w:pPr>
    </w:p>
    <w:p w14:paraId="64400B93" w14:textId="7C04993C" w:rsidR="001C1330" w:rsidRPr="00AE04FE" w:rsidRDefault="001C1330" w:rsidP="00C442ED">
      <w:pPr>
        <w:spacing w:after="0" w:line="240" w:lineRule="auto"/>
        <w:ind w:firstLine="0"/>
        <w:rPr>
          <w:b/>
          <w:bCs w:val="0"/>
          <w:sz w:val="28"/>
          <w:szCs w:val="28"/>
        </w:rPr>
      </w:pPr>
      <w:r w:rsidRPr="00AE04FE">
        <w:rPr>
          <w:b/>
          <w:bCs w:val="0"/>
          <w:sz w:val="28"/>
          <w:szCs w:val="28"/>
        </w:rPr>
        <w:t>Председатель комиссии</w:t>
      </w:r>
      <w:r w:rsidRPr="00AE04FE">
        <w:rPr>
          <w:b/>
          <w:bCs w:val="0"/>
          <w:sz w:val="28"/>
          <w:szCs w:val="28"/>
        </w:rPr>
        <w:tab/>
      </w:r>
      <w:r w:rsidRPr="00AE04FE">
        <w:rPr>
          <w:b/>
          <w:bCs w:val="0"/>
          <w:sz w:val="28"/>
          <w:szCs w:val="28"/>
        </w:rPr>
        <w:tab/>
        <w:t xml:space="preserve">                                     </w:t>
      </w:r>
      <w:r w:rsidR="00C442ED" w:rsidRPr="00AE04FE">
        <w:rPr>
          <w:b/>
          <w:bCs w:val="0"/>
          <w:sz w:val="28"/>
          <w:szCs w:val="28"/>
        </w:rPr>
        <w:t xml:space="preserve">       </w:t>
      </w:r>
      <w:r w:rsidRPr="00AE04FE">
        <w:rPr>
          <w:b/>
          <w:bCs w:val="0"/>
          <w:sz w:val="28"/>
          <w:szCs w:val="28"/>
        </w:rPr>
        <w:t xml:space="preserve"> Л.В. Копылова</w:t>
      </w:r>
    </w:p>
    <w:p w14:paraId="0808FFCA" w14:textId="77777777" w:rsidR="001C1330" w:rsidRDefault="001C1330" w:rsidP="001C1330"/>
    <w:p w14:paraId="5556BE29" w14:textId="5C49A5BF" w:rsidR="001C1330" w:rsidRPr="00C442ED" w:rsidRDefault="001C1330" w:rsidP="00C442ED">
      <w:pPr>
        <w:ind w:firstLine="0"/>
        <w:rPr>
          <w:sz w:val="18"/>
          <w:szCs w:val="18"/>
        </w:rPr>
      </w:pPr>
      <w:r w:rsidRPr="00C442ED">
        <w:rPr>
          <w:sz w:val="18"/>
          <w:szCs w:val="18"/>
        </w:rPr>
        <w:t>8(84574)2-19-49</w:t>
      </w:r>
    </w:p>
    <w:sectPr w:rsidR="001C1330" w:rsidRPr="00C4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3F"/>
    <w:rsid w:val="0006496D"/>
    <w:rsid w:val="00097620"/>
    <w:rsid w:val="000F155F"/>
    <w:rsid w:val="00104445"/>
    <w:rsid w:val="001A33C1"/>
    <w:rsid w:val="001C1330"/>
    <w:rsid w:val="001D28AE"/>
    <w:rsid w:val="002B7AA3"/>
    <w:rsid w:val="003F4FE9"/>
    <w:rsid w:val="0042100F"/>
    <w:rsid w:val="0044339D"/>
    <w:rsid w:val="00447E93"/>
    <w:rsid w:val="004910B6"/>
    <w:rsid w:val="004B0001"/>
    <w:rsid w:val="005368C3"/>
    <w:rsid w:val="00575E64"/>
    <w:rsid w:val="00592B19"/>
    <w:rsid w:val="005D270B"/>
    <w:rsid w:val="00641278"/>
    <w:rsid w:val="00682556"/>
    <w:rsid w:val="00734D3F"/>
    <w:rsid w:val="007B47F8"/>
    <w:rsid w:val="007B6888"/>
    <w:rsid w:val="007E52E9"/>
    <w:rsid w:val="00857C1A"/>
    <w:rsid w:val="00876226"/>
    <w:rsid w:val="008F0727"/>
    <w:rsid w:val="009A72EA"/>
    <w:rsid w:val="00A1022D"/>
    <w:rsid w:val="00A430F6"/>
    <w:rsid w:val="00AE04FE"/>
    <w:rsid w:val="00B26803"/>
    <w:rsid w:val="00B417DD"/>
    <w:rsid w:val="00C442ED"/>
    <w:rsid w:val="00C970B4"/>
    <w:rsid w:val="00D96A75"/>
    <w:rsid w:val="00E24452"/>
    <w:rsid w:val="00E25279"/>
    <w:rsid w:val="00E67A45"/>
    <w:rsid w:val="00E73346"/>
    <w:rsid w:val="00E839B1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BC46"/>
  <w15:chartTrackingRefBased/>
  <w15:docId w15:val="{DA9995BD-F795-424F-B801-72A0F7E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Ларионова Елена Ивановна</cp:lastModifiedBy>
  <cp:revision>9</cp:revision>
  <cp:lastPrinted>2024-10-24T10:17:00Z</cp:lastPrinted>
  <dcterms:created xsi:type="dcterms:W3CDTF">2024-08-12T12:27:00Z</dcterms:created>
  <dcterms:modified xsi:type="dcterms:W3CDTF">2024-10-24T10:29:00Z</dcterms:modified>
</cp:coreProperties>
</file>