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F042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01EF1D73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1829952F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3950B18E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284ECA55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45C7E740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7EF2B63B" w14:textId="3ED40B19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67BA8F14" w14:textId="7B0FD9AA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2A1E4213" w14:textId="65D99B5B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6829E4B2" w14:textId="2A377D6C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2DD35C45" w14:textId="20879A36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bookmarkStart w:id="0" w:name="_GoBack"/>
      <w:bookmarkEnd w:id="0"/>
    </w:p>
    <w:p w14:paraId="71712F27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57C1F664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3B20F8AE" w14:textId="27B0A5C4" w:rsidR="0066528E" w:rsidRPr="0066528E" w:rsidRDefault="0066528E" w:rsidP="0066528E">
      <w:pPr>
        <w:widowControl w:val="0"/>
        <w:tabs>
          <w:tab w:val="left" w:pos="0"/>
        </w:tabs>
        <w:jc w:val="center"/>
        <w:rPr>
          <w:sz w:val="28"/>
          <w:szCs w:val="20"/>
        </w:rPr>
      </w:pPr>
      <w:r w:rsidRPr="0066528E">
        <w:rPr>
          <w:sz w:val="28"/>
          <w:szCs w:val="20"/>
        </w:rPr>
        <w:t>от 22 мая 2025</w:t>
      </w:r>
      <w:r>
        <w:rPr>
          <w:sz w:val="28"/>
          <w:szCs w:val="20"/>
        </w:rPr>
        <w:t xml:space="preserve"> </w:t>
      </w:r>
      <w:r w:rsidRPr="0066528E">
        <w:rPr>
          <w:sz w:val="28"/>
          <w:szCs w:val="20"/>
        </w:rPr>
        <w:t>года № 710</w:t>
      </w:r>
    </w:p>
    <w:p w14:paraId="0A7E3F5B" w14:textId="77777777" w:rsidR="0066528E" w:rsidRPr="0066528E" w:rsidRDefault="0066528E" w:rsidP="0066528E">
      <w:pPr>
        <w:widowControl w:val="0"/>
        <w:tabs>
          <w:tab w:val="left" w:pos="0"/>
        </w:tabs>
        <w:jc w:val="both"/>
        <w:rPr>
          <w:sz w:val="28"/>
          <w:szCs w:val="20"/>
        </w:rPr>
      </w:pPr>
    </w:p>
    <w:p w14:paraId="390FB057" w14:textId="7777777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6C475347" w14:textId="682DCA17" w:rsidR="0066528E" w:rsidRDefault="0066528E" w:rsidP="0066528E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FB1748">
        <w:rPr>
          <w:b/>
          <w:bCs/>
          <w:sz w:val="28"/>
          <w:szCs w:val="20"/>
        </w:rPr>
        <w:t xml:space="preserve">О внесении изменений в </w:t>
      </w:r>
      <w:r w:rsidRPr="00FB1748">
        <w:rPr>
          <w:b/>
          <w:bCs/>
          <w:sz w:val="28"/>
          <w:szCs w:val="20"/>
        </w:rPr>
        <w:t>постановление</w:t>
      </w:r>
      <w:r>
        <w:rPr>
          <w:b/>
          <w:bCs/>
          <w:sz w:val="28"/>
          <w:szCs w:val="20"/>
        </w:rPr>
        <w:t xml:space="preserve"> </w:t>
      </w:r>
    </w:p>
    <w:p w14:paraId="3CE55D2F" w14:textId="1D994D57" w:rsidR="0066528E" w:rsidRPr="00FB1748" w:rsidRDefault="0066528E" w:rsidP="0066528E">
      <w:pPr>
        <w:widowControl w:val="0"/>
        <w:tabs>
          <w:tab w:val="left" w:pos="0"/>
        </w:tabs>
        <w:jc w:val="both"/>
        <w:rPr>
          <w:rFonts w:eastAsia="Calibri"/>
        </w:rPr>
      </w:pPr>
      <w:r>
        <w:rPr>
          <w:b/>
          <w:bCs/>
          <w:sz w:val="28"/>
          <w:szCs w:val="20"/>
        </w:rPr>
        <w:t>а</w:t>
      </w:r>
      <w:r w:rsidRPr="00FB1748">
        <w:rPr>
          <w:b/>
          <w:bCs/>
          <w:sz w:val="28"/>
          <w:szCs w:val="20"/>
        </w:rPr>
        <w:t>дминистрации</w:t>
      </w:r>
      <w:r w:rsidRPr="0066528E">
        <w:rPr>
          <w:b/>
          <w:bCs/>
          <w:sz w:val="28"/>
          <w:szCs w:val="20"/>
        </w:rPr>
        <w:t xml:space="preserve"> </w:t>
      </w:r>
      <w:r w:rsidRPr="00FB1748">
        <w:rPr>
          <w:b/>
          <w:bCs/>
          <w:sz w:val="28"/>
          <w:szCs w:val="20"/>
        </w:rPr>
        <w:t>Пугачевского</w:t>
      </w:r>
    </w:p>
    <w:p w14:paraId="4634B6D4" w14:textId="33AE2F9E" w:rsidR="0066528E" w:rsidRPr="00FB1748" w:rsidRDefault="0066528E" w:rsidP="0066528E">
      <w:pPr>
        <w:widowControl w:val="0"/>
        <w:tabs>
          <w:tab w:val="left" w:pos="0"/>
        </w:tabs>
        <w:jc w:val="both"/>
        <w:rPr>
          <w:rFonts w:eastAsia="Calibri"/>
        </w:rPr>
      </w:pPr>
      <w:r w:rsidRPr="00FB1748">
        <w:rPr>
          <w:b/>
          <w:bCs/>
          <w:sz w:val="28"/>
          <w:szCs w:val="20"/>
        </w:rPr>
        <w:t>муниципального района Саратовской области</w:t>
      </w:r>
    </w:p>
    <w:p w14:paraId="6F56CC4A" w14:textId="77777777" w:rsidR="0066528E" w:rsidRPr="00FB1748" w:rsidRDefault="0066528E" w:rsidP="0066528E">
      <w:pPr>
        <w:widowControl w:val="0"/>
        <w:tabs>
          <w:tab w:val="left" w:pos="0"/>
        </w:tabs>
        <w:jc w:val="both"/>
        <w:rPr>
          <w:rFonts w:eastAsia="Calibri"/>
        </w:rPr>
      </w:pPr>
      <w:r w:rsidRPr="00FB1748">
        <w:rPr>
          <w:b/>
          <w:bCs/>
          <w:sz w:val="28"/>
          <w:szCs w:val="20"/>
        </w:rPr>
        <w:t>от 14 июня 2013 года № 738</w:t>
      </w:r>
    </w:p>
    <w:p w14:paraId="356AB94D" w14:textId="77777777" w:rsidR="0066528E" w:rsidRPr="00FB1748" w:rsidRDefault="0066528E" w:rsidP="0066528E">
      <w:pPr>
        <w:widowControl w:val="0"/>
        <w:rPr>
          <w:b/>
          <w:sz w:val="28"/>
          <w:szCs w:val="28"/>
        </w:rPr>
      </w:pPr>
    </w:p>
    <w:p w14:paraId="5A538DB9" w14:textId="77777777" w:rsidR="0066528E" w:rsidRPr="00FB1748" w:rsidRDefault="0066528E" w:rsidP="0066528E">
      <w:pPr>
        <w:pStyle w:val="1"/>
        <w:ind w:right="-1" w:firstLine="709"/>
        <w:rPr>
          <w:b w:val="0"/>
        </w:rPr>
      </w:pPr>
      <w:r w:rsidRPr="00FB1748">
        <w:rPr>
          <w:b w:val="0"/>
        </w:rPr>
        <w:t>В соответствии с постановлением администрации Пугачевского муниципального района Саратовской области от 6 мая 2025 года № 635 «О внесении изменений в постановление администрации Пугачевского муниципального района Саратовской области от 26 июня 2024 года № 702»,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5270C860" w14:textId="77777777" w:rsidR="0066528E" w:rsidRPr="00FB1748" w:rsidRDefault="0066528E" w:rsidP="0066528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B1748">
        <w:rPr>
          <w:sz w:val="28"/>
          <w:szCs w:val="28"/>
        </w:rPr>
        <w:t>1.Внести в постановление администрации Пугачевского муниципального района Саратовской области от 14 июня 2013 года № 738 «Об утверждении Порядка установления и определения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Пугачевского муниципального района» следующие изменения:</w:t>
      </w:r>
    </w:p>
    <w:p w14:paraId="4BC3E05E" w14:textId="77777777" w:rsidR="0066528E" w:rsidRPr="00FB1748" w:rsidRDefault="0066528E" w:rsidP="0066528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B1748">
        <w:rPr>
          <w:sz w:val="28"/>
          <w:szCs w:val="28"/>
        </w:rPr>
        <w:t>в приложении:</w:t>
      </w:r>
    </w:p>
    <w:p w14:paraId="348359A7" w14:textId="77777777" w:rsidR="0066528E" w:rsidRPr="00FB1748" w:rsidRDefault="0066528E" w:rsidP="0066528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1748">
        <w:rPr>
          <w:rFonts w:eastAsia="Calibri"/>
          <w:sz w:val="28"/>
        </w:rPr>
        <w:t>в разделе «</w:t>
      </w:r>
      <w:r w:rsidRPr="00FB1748">
        <w:rPr>
          <w:sz w:val="28"/>
          <w:szCs w:val="28"/>
        </w:rPr>
        <w:t>Перечень льготных категорий и размеры предоставляемых льгот»:</w:t>
      </w:r>
    </w:p>
    <w:p w14:paraId="2E133DE6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B1748">
        <w:rPr>
          <w:rFonts w:eastAsia="Calibri"/>
          <w:sz w:val="28"/>
        </w:rPr>
        <w:t>в пункте 14 абзац седьмой исключить;</w:t>
      </w:r>
    </w:p>
    <w:p w14:paraId="333A7F6A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B1748">
        <w:rPr>
          <w:rFonts w:eastAsia="Calibri"/>
          <w:sz w:val="28"/>
        </w:rPr>
        <w:t>дополнить подпунктом 14.1 следующего содержания:</w:t>
      </w:r>
    </w:p>
    <w:p w14:paraId="6636DDB2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</w:rPr>
        <w:t>«14.</w:t>
      </w:r>
      <w:proofErr w:type="gramStart"/>
      <w:r w:rsidRPr="00FB1748">
        <w:rPr>
          <w:rFonts w:eastAsia="Calibri"/>
          <w:sz w:val="28"/>
        </w:rPr>
        <w:t>1.</w:t>
      </w:r>
      <w:r w:rsidRPr="00FB1748">
        <w:rPr>
          <w:rFonts w:eastAsia="Calibri"/>
          <w:sz w:val="28"/>
          <w:szCs w:val="28"/>
        </w:rPr>
        <w:t>Родительская</w:t>
      </w:r>
      <w:proofErr w:type="gramEnd"/>
      <w:r w:rsidRPr="00FB1748">
        <w:rPr>
          <w:rFonts w:eastAsia="Calibri"/>
          <w:sz w:val="28"/>
          <w:szCs w:val="28"/>
        </w:rPr>
        <w:t xml:space="preserve"> плата не взимается за присмотр и уход за детьми:</w:t>
      </w:r>
    </w:p>
    <w:p w14:paraId="61E3EDD9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 xml:space="preserve">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в том числе за детьми, находящимися под их опекой (попечительством), под опекой (попечительством) их супруг (супругов) или в приемной семье; </w:t>
      </w:r>
    </w:p>
    <w:p w14:paraId="0028852A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lastRenderedPageBreak/>
        <w:t>в случае гибели (смерти), объявления умершими, признания безвестно отсутствующими при исполнении обязанностей военной службы</w:t>
      </w:r>
      <w:r w:rsidRPr="00FB1748">
        <w:rPr>
          <w:sz w:val="28"/>
          <w:szCs w:val="28"/>
        </w:rPr>
        <w:t>,</w:t>
      </w:r>
      <w:r w:rsidRPr="00FB1748">
        <w:rPr>
          <w:rFonts w:eastAsia="Calibri"/>
          <w:sz w:val="28"/>
          <w:szCs w:val="28"/>
        </w:rPr>
        <w:t xml:space="preserve">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2D893BE1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 xml:space="preserve">граждан,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</w:t>
      </w:r>
    </w:p>
    <w:p w14:paraId="04CAF33F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>в случае гибели (смерти), объявления умершими, признания безвестно отсутствующими при исполнении обязанностей военной службы</w:t>
      </w:r>
      <w:r w:rsidRPr="00FB1748">
        <w:rPr>
          <w:sz w:val="28"/>
          <w:szCs w:val="28"/>
        </w:rPr>
        <w:t xml:space="preserve"> и (или) выполнении задач по отражению вооруженного вторжения на территорию Российской Федерации, служебных и иных аналогичных функций,</w:t>
      </w:r>
      <w:r w:rsidRPr="00FB1748">
        <w:rPr>
          <w:rFonts w:eastAsia="Calibri"/>
          <w:sz w:val="28"/>
          <w:szCs w:val="28"/>
        </w:rPr>
        <w:t xml:space="preserve"> смерти вследствие военной травмы после увольнения с военной службы граждан,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операции;</w:t>
      </w:r>
    </w:p>
    <w:p w14:paraId="78E264D7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 xml:space="preserve">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территориях; </w:t>
      </w:r>
    </w:p>
    <w:p w14:paraId="20438BB6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 </w:t>
      </w:r>
      <w:r w:rsidRPr="00FB1748">
        <w:rPr>
          <w:sz w:val="28"/>
          <w:szCs w:val="28"/>
        </w:rPr>
        <w:t xml:space="preserve">и (или) выполнении задач по отражению вооруженного вторжения на территорию Российской Федерации, служебных и иных аналогичных функций, </w:t>
      </w:r>
      <w:r w:rsidRPr="00FB1748">
        <w:rPr>
          <w:rFonts w:eastAsia="Calibri"/>
          <w:sz w:val="28"/>
          <w:szCs w:val="28"/>
        </w:rPr>
        <w:t>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области.</w:t>
      </w:r>
    </w:p>
    <w:p w14:paraId="5A53857B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 xml:space="preserve">сотрудников Следственного комитета Российской Федерации, исполняющих служебные обязанности в специальной военной операции и </w:t>
      </w:r>
      <w:r w:rsidRPr="00FB1748">
        <w:rPr>
          <w:rFonts w:eastAsia="Calibri"/>
          <w:sz w:val="28"/>
          <w:szCs w:val="28"/>
        </w:rPr>
        <w:lastRenderedPageBreak/>
        <w:t>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</w:t>
      </w:r>
    </w:p>
    <w:p w14:paraId="51349AA5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1748">
        <w:rPr>
          <w:rFonts w:eastAsia="Calibri"/>
          <w:sz w:val="28"/>
          <w:szCs w:val="28"/>
        </w:rPr>
        <w:t>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</w:t>
      </w:r>
      <w:r w:rsidRPr="00FB1748">
        <w:rPr>
          <w:sz w:val="28"/>
          <w:szCs w:val="28"/>
        </w:rPr>
        <w:t xml:space="preserve"> и (или) выполнении задач по отражению вооруженного вторжения на территорию Российской Федерации, служебных и иных аналогичных функций,</w:t>
      </w:r>
      <w:r w:rsidRPr="00FB1748">
        <w:rPr>
          <w:rFonts w:eastAsia="Calibri"/>
          <w:sz w:val="28"/>
          <w:szCs w:val="28"/>
        </w:rPr>
        <w:t xml:space="preserve"> смерти вследствие полученной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 травмы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Федерации.»;</w:t>
      </w:r>
    </w:p>
    <w:p w14:paraId="6A1D9969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B1748">
        <w:rPr>
          <w:rFonts w:eastAsia="Calibri"/>
          <w:sz w:val="28"/>
        </w:rPr>
        <w:t>в пункте 15:</w:t>
      </w:r>
    </w:p>
    <w:p w14:paraId="0C933973" w14:textId="77777777" w:rsidR="0066528E" w:rsidRPr="00FB1748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FB1748">
        <w:rPr>
          <w:rFonts w:eastAsia="Calibri"/>
          <w:sz w:val="28"/>
        </w:rPr>
        <w:t>абзац третий изложить в следующей редакции:</w:t>
      </w:r>
    </w:p>
    <w:p w14:paraId="070F9E43" w14:textId="77777777" w:rsidR="0066528E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48">
        <w:rPr>
          <w:rFonts w:eastAsia="Calibri"/>
          <w:sz w:val="28"/>
        </w:rPr>
        <w:t xml:space="preserve">«Документами, подтверждающими право на получение льгот по родительской плате </w:t>
      </w:r>
      <w:r w:rsidRPr="00FB1748">
        <w:rPr>
          <w:sz w:val="28"/>
          <w:szCs w:val="28"/>
        </w:rPr>
        <w:t>членами семей лиц, указанных в подпункте 14.1 являются справки, выдаваемые военным комиссариатом, воинской частью, организациями, подведомственными Министерству обороны Российской Федерации, Федеральной службой войск национальной гвардии Российской Федерации или Следственным комитетом Российской Федерации.».</w:t>
      </w:r>
    </w:p>
    <w:p w14:paraId="7D372DA1" w14:textId="77777777" w:rsidR="0066528E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утратившими силу постановления администрации </w:t>
      </w:r>
      <w:r w:rsidRPr="00F84E2D">
        <w:rPr>
          <w:sz w:val="28"/>
          <w:szCs w:val="28"/>
        </w:rPr>
        <w:t>Пугачевского муниципального района Саратовской области</w:t>
      </w:r>
      <w:r>
        <w:rPr>
          <w:sz w:val="28"/>
          <w:szCs w:val="28"/>
        </w:rPr>
        <w:t>:</w:t>
      </w:r>
    </w:p>
    <w:p w14:paraId="48DE69A8" w14:textId="77777777" w:rsidR="0066528E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EE9">
        <w:rPr>
          <w:sz w:val="28"/>
          <w:szCs w:val="28"/>
        </w:rPr>
        <w:t>от 4 июля 2024 года № 745</w:t>
      </w:r>
      <w:r w:rsidRPr="00300EE9">
        <w:t xml:space="preserve"> </w:t>
      </w:r>
      <w:r w:rsidRPr="00300EE9">
        <w:rPr>
          <w:sz w:val="28"/>
          <w:szCs w:val="28"/>
        </w:rPr>
        <w:t>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300EE9">
        <w:rPr>
          <w:sz w:val="28"/>
          <w:szCs w:val="28"/>
        </w:rPr>
        <w:t>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300EE9">
        <w:rPr>
          <w:sz w:val="28"/>
          <w:szCs w:val="28"/>
        </w:rPr>
        <w:t>от 14 июня 2013 года № 738</w:t>
      </w:r>
      <w:r>
        <w:rPr>
          <w:sz w:val="28"/>
          <w:szCs w:val="28"/>
        </w:rPr>
        <w:t>»;</w:t>
      </w:r>
    </w:p>
    <w:p w14:paraId="178828BA" w14:textId="77777777" w:rsidR="0066528E" w:rsidRPr="00F84E2D" w:rsidRDefault="0066528E" w:rsidP="00665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E2D">
        <w:rPr>
          <w:sz w:val="28"/>
          <w:szCs w:val="28"/>
        </w:rPr>
        <w:t>от 18 марта 2025 года № 399</w:t>
      </w:r>
      <w:r>
        <w:rPr>
          <w:sz w:val="28"/>
          <w:szCs w:val="28"/>
        </w:rPr>
        <w:t xml:space="preserve"> «</w:t>
      </w:r>
      <w:r w:rsidRPr="00F84E2D">
        <w:rPr>
          <w:sz w:val="28"/>
          <w:szCs w:val="28"/>
        </w:rPr>
        <w:t>О внесении изменения в постановление администрации</w:t>
      </w:r>
      <w:r>
        <w:rPr>
          <w:sz w:val="28"/>
          <w:szCs w:val="28"/>
        </w:rPr>
        <w:t xml:space="preserve"> </w:t>
      </w:r>
      <w:r w:rsidRPr="00F84E2D">
        <w:rPr>
          <w:sz w:val="28"/>
          <w:szCs w:val="28"/>
        </w:rPr>
        <w:t>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F84E2D">
        <w:rPr>
          <w:sz w:val="28"/>
          <w:szCs w:val="28"/>
        </w:rPr>
        <w:t>от 14 июня 2013 года № 738</w:t>
      </w:r>
      <w:r>
        <w:rPr>
          <w:sz w:val="28"/>
          <w:szCs w:val="28"/>
        </w:rPr>
        <w:t>».</w:t>
      </w:r>
    </w:p>
    <w:p w14:paraId="5D8F211D" w14:textId="77777777" w:rsidR="0066528E" w:rsidRPr="00FB1748" w:rsidRDefault="0066528E" w:rsidP="0066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1748">
        <w:rPr>
          <w:sz w:val="28"/>
          <w:szCs w:val="28"/>
        </w:rPr>
        <w:t xml:space="preserve">.Отделу информации, анализа и общественных отношений </w:t>
      </w:r>
      <w:proofErr w:type="spellStart"/>
      <w:proofErr w:type="gramStart"/>
      <w:r w:rsidRPr="00FB1748">
        <w:rPr>
          <w:sz w:val="28"/>
          <w:szCs w:val="28"/>
        </w:rPr>
        <w:t>админи-страции</w:t>
      </w:r>
      <w:proofErr w:type="spellEnd"/>
      <w:proofErr w:type="gramEnd"/>
      <w:r w:rsidRPr="00FB1748">
        <w:rPr>
          <w:sz w:val="28"/>
          <w:szCs w:val="28"/>
        </w:rPr>
        <w:t xml:space="preserve"> Пугачевского муниципального района опубликовать настоящее </w:t>
      </w:r>
      <w:proofErr w:type="spellStart"/>
      <w:r w:rsidRPr="00FB1748">
        <w:rPr>
          <w:sz w:val="28"/>
          <w:szCs w:val="28"/>
        </w:rPr>
        <w:t>поста-новле</w:t>
      </w:r>
      <w:r w:rsidRPr="00FB1748">
        <w:rPr>
          <w:sz w:val="28"/>
          <w:szCs w:val="28"/>
        </w:rPr>
        <w:softHyphen/>
        <w:t>ние</w:t>
      </w:r>
      <w:proofErr w:type="spellEnd"/>
      <w:r w:rsidRPr="00FB1748">
        <w:rPr>
          <w:sz w:val="28"/>
          <w:szCs w:val="28"/>
        </w:rPr>
        <w:t>, разместив его на официальном сайте администрации Пугачевского муници</w:t>
      </w:r>
      <w:r w:rsidRPr="00FB1748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56F6428E" w14:textId="77777777" w:rsidR="0066528E" w:rsidRPr="00FB1748" w:rsidRDefault="0066528E" w:rsidP="0066528E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FB1748">
        <w:rPr>
          <w:sz w:val="28"/>
          <w:szCs w:val="28"/>
        </w:rPr>
        <w:t>.Настоящее постановление вступает в силу со дня его подписания.</w:t>
      </w:r>
    </w:p>
    <w:p w14:paraId="40642671" w14:textId="77777777" w:rsidR="0066528E" w:rsidRPr="00FB1748" w:rsidRDefault="0066528E" w:rsidP="0066528E">
      <w:pPr>
        <w:autoSpaceDE w:val="0"/>
        <w:ind w:firstLine="709"/>
        <w:jc w:val="both"/>
        <w:rPr>
          <w:sz w:val="28"/>
          <w:szCs w:val="28"/>
        </w:rPr>
      </w:pPr>
    </w:p>
    <w:p w14:paraId="366F5C62" w14:textId="77777777" w:rsidR="0066528E" w:rsidRPr="00FB1748" w:rsidRDefault="0066528E" w:rsidP="0066528E">
      <w:pPr>
        <w:autoSpaceDE w:val="0"/>
        <w:jc w:val="both"/>
      </w:pPr>
      <w:r w:rsidRPr="00FB1748">
        <w:rPr>
          <w:sz w:val="28"/>
          <w:szCs w:val="28"/>
        </w:rPr>
        <w:br/>
      </w:r>
      <w:r w:rsidRPr="00FB1748">
        <w:rPr>
          <w:b/>
          <w:sz w:val="28"/>
          <w:szCs w:val="28"/>
        </w:rPr>
        <w:t>Глава Пугачевского</w:t>
      </w:r>
    </w:p>
    <w:p w14:paraId="6937FA89" w14:textId="77777777" w:rsidR="0066528E" w:rsidRPr="00FB1748" w:rsidRDefault="0066528E" w:rsidP="0066528E">
      <w:pPr>
        <w:jc w:val="both"/>
        <w:rPr>
          <w:b/>
          <w:sz w:val="28"/>
          <w:szCs w:val="28"/>
        </w:rPr>
      </w:pPr>
      <w:r w:rsidRPr="00FB1748">
        <w:rPr>
          <w:b/>
          <w:sz w:val="28"/>
          <w:szCs w:val="28"/>
        </w:rPr>
        <w:t>муниципального района</w:t>
      </w:r>
      <w:r w:rsidRPr="00FB1748">
        <w:rPr>
          <w:b/>
          <w:sz w:val="28"/>
          <w:szCs w:val="28"/>
        </w:rPr>
        <w:tab/>
      </w:r>
      <w:r w:rsidRPr="00FB1748">
        <w:rPr>
          <w:b/>
          <w:sz w:val="28"/>
          <w:szCs w:val="28"/>
        </w:rPr>
        <w:tab/>
      </w:r>
      <w:r w:rsidRPr="00FB1748">
        <w:rPr>
          <w:b/>
          <w:sz w:val="28"/>
          <w:szCs w:val="28"/>
        </w:rPr>
        <w:tab/>
      </w:r>
      <w:r w:rsidRPr="00FB1748">
        <w:rPr>
          <w:b/>
          <w:sz w:val="28"/>
          <w:szCs w:val="28"/>
        </w:rPr>
        <w:tab/>
        <w:t xml:space="preserve">                                       </w:t>
      </w:r>
      <w:proofErr w:type="spellStart"/>
      <w:r w:rsidRPr="00FB1748">
        <w:rPr>
          <w:b/>
          <w:sz w:val="28"/>
          <w:szCs w:val="28"/>
        </w:rPr>
        <w:t>А.В.Янин</w:t>
      </w:r>
      <w:proofErr w:type="spellEnd"/>
    </w:p>
    <w:p w14:paraId="239338EE" w14:textId="77777777" w:rsidR="0066528E" w:rsidRPr="00FB1748" w:rsidRDefault="0066528E" w:rsidP="0066528E">
      <w:pPr>
        <w:jc w:val="both"/>
        <w:rPr>
          <w:rFonts w:eastAsia="Calibri"/>
          <w:sz w:val="28"/>
          <w:szCs w:val="28"/>
          <w:lang w:eastAsia="en-US"/>
        </w:rPr>
      </w:pPr>
    </w:p>
    <w:p w14:paraId="61FBD029" w14:textId="77777777" w:rsidR="0066528E" w:rsidRPr="00FD5080" w:rsidRDefault="0066528E" w:rsidP="0066528E"/>
    <w:p w14:paraId="103157FC" w14:textId="77777777" w:rsidR="0032648E" w:rsidRDefault="0032648E"/>
    <w:sectPr w:rsidR="0032648E" w:rsidSect="00C247DE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AE"/>
    <w:rsid w:val="00080AAE"/>
    <w:rsid w:val="0032648E"/>
    <w:rsid w:val="00563C2F"/>
    <w:rsid w:val="006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9C99"/>
  <w15:chartTrackingRefBased/>
  <w15:docId w15:val="{1CCA9CCF-B932-4DD2-A0A9-6105743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qFormat/>
    <w:rsid w:val="0066528E"/>
    <w:pPr>
      <w:suppressAutoHyphens w:val="0"/>
      <w:ind w:right="3232"/>
      <w:jc w:val="both"/>
    </w:pPr>
    <w:rPr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8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</cp:revision>
  <cp:lastPrinted>2025-05-22T12:04:00Z</cp:lastPrinted>
  <dcterms:created xsi:type="dcterms:W3CDTF">2025-05-22T12:02:00Z</dcterms:created>
  <dcterms:modified xsi:type="dcterms:W3CDTF">2025-05-22T12:04:00Z</dcterms:modified>
</cp:coreProperties>
</file>